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3C31F7" w:rsidRDefault="00277697"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277697">
        <w:rPr>
          <w:rFonts w:ascii="PF Square Sans Pro" w:hAnsi="PF Square Sans Pro"/>
          <w:b/>
          <w:sz w:val="22"/>
          <w:szCs w:val="22"/>
        </w:rPr>
        <w:t xml:space="preserve">«Капітальний ремонт будівлі гуртожитку ДПТНЗ «Сокальський професійний ліцей» у м. </w:t>
      </w:r>
      <w:proofErr w:type="spellStart"/>
      <w:r w:rsidRPr="00277697">
        <w:rPr>
          <w:rFonts w:ascii="PF Square Sans Pro" w:hAnsi="PF Square Sans Pro"/>
          <w:b/>
          <w:sz w:val="22"/>
          <w:szCs w:val="22"/>
        </w:rPr>
        <w:t>Сокаль</w:t>
      </w:r>
      <w:proofErr w:type="spellEnd"/>
      <w:r w:rsidRPr="00277697">
        <w:rPr>
          <w:rFonts w:ascii="PF Square Sans Pro" w:hAnsi="PF Square Sans Pro"/>
          <w:b/>
          <w:sz w:val="22"/>
          <w:szCs w:val="22"/>
        </w:rPr>
        <w:t>, по вул. Івана Підкови, 1 Червоноградського району Львівської області»</w:t>
      </w:r>
    </w:p>
    <w:p w:rsidR="00277697" w:rsidRDefault="00277697"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bookmarkStart w:id="0" w:name="_GoBack"/>
      <w:bookmarkEnd w:id="0"/>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77697"/>
    <w:rsid w:val="002A33D7"/>
    <w:rsid w:val="003C31F7"/>
    <w:rsid w:val="00492C3A"/>
    <w:rsid w:val="004944D7"/>
    <w:rsid w:val="004F311F"/>
    <w:rsid w:val="005301D9"/>
    <w:rsid w:val="005A3E3F"/>
    <w:rsid w:val="005C307C"/>
    <w:rsid w:val="00611E2F"/>
    <w:rsid w:val="00687D2A"/>
    <w:rsid w:val="00703471"/>
    <w:rsid w:val="008562FF"/>
    <w:rsid w:val="008B3067"/>
    <w:rsid w:val="00940B94"/>
    <w:rsid w:val="00944640"/>
    <w:rsid w:val="00980177"/>
    <w:rsid w:val="009A6DCD"/>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41A5"/>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2</cp:revision>
  <dcterms:created xsi:type="dcterms:W3CDTF">2024-02-29T10:42:00Z</dcterms:created>
  <dcterms:modified xsi:type="dcterms:W3CDTF">2024-02-29T10:42:00Z</dcterms:modified>
</cp:coreProperties>
</file>